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щити-питомца-по-максимуму"/>
    <w:p>
      <w:pPr>
        <w:pStyle w:val="Heading3"/>
      </w:pPr>
      <w:r>
        <w:t xml:space="preserve">Защити питомца по максимуму!</w:t>
      </w:r>
    </w:p>
    <w:p>
      <w:pPr>
        <w:pStyle w:val="FirstParagraph"/>
      </w:pPr>
      <w:r>
        <w:t xml:space="preserve">25.02.2021</w:t>
      </w:r>
    </w:p>
    <w:p>
      <w:pPr>
        <w:pStyle w:val="BodyText"/>
      </w:pPr>
      <w:r>
        <w:t xml:space="preserve">Учитывая сложную эпизоотическую ситуацию по бешенству в г.Москве и Московской области и принимая во внимание массовый отъезд москвичей с животными в другие субъекты РФ в весенне-летний период, государственная ветеринарная служба г. Москвы ежегодно организует выездные прививочные пункты, максимально приближенные к жилым массивам, с целью вакцинации животных против бешенства.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http://brateevo.mos.ru/the-state-veterinary-service/detail/9742779.html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9742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9742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2024-07-27T11:09:49Z</dcterms:created>
  <dcterms:modified xsi:type="dcterms:W3CDTF">2024-07-27T11:09:49Z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