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8ce18add8b7157282e0005b0e4a0eb70ddb45d"/>
    <w:p>
      <w:pPr>
        <w:pStyle w:val="Heading3"/>
      </w:pPr>
      <w:r>
        <w:t xml:space="preserve">Прививочная кампания против бешенства домашних животных на территории Южного административного округа в 2021 году</w:t>
      </w:r>
    </w:p>
    <w:p>
      <w:pPr>
        <w:pStyle w:val="FirstParagraph"/>
      </w:pPr>
      <w:r>
        <w:t xml:space="preserve">30.12.2020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22/d_1731406547-_1_-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39/d_1731406547-_1_-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http://brateevo.mos.ru/the-state-veterinary-service/detail/9611444.html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the-state-veterinary-service/detail/9611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the-state-veterinary-service/detail/9611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2024-08-26T06:46:12Z</dcterms:created>
  <dcterms:modified xsi:type="dcterms:W3CDTF">2024-08-26T06:46:12Z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