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a66cc46c4279602c6d169cd525cbd049e5957c"/>
    <w:p>
      <w:pPr>
        <w:pStyle w:val="Heading3"/>
      </w:pPr>
      <w:r>
        <w:t xml:space="preserve">БЕСПЛАТНАЯ ВАКЦИНАЦИЯ ЖИВОТНЫХ ПРОТИВ БЕШЕНСТВА</w:t>
      </w:r>
    </w:p>
    <w:p>
      <w:pPr>
        <w:pStyle w:val="FirstParagraph"/>
      </w:pPr>
      <w:r>
        <w:t xml:space="preserve">29.10.2020</w:t>
      </w:r>
    </w:p>
    <w:p>
      <w:pPr>
        <w:pStyle w:val="BodyText"/>
      </w:pPr>
      <w:r>
        <w:drawing>
          <wp:inline>
            <wp:extent cx="5248275" cy="743902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rateevo.mos.ru/www/upload/medialibrary/84e/vaktsinatsiy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7439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http://brateevo.mos.ru/the-state-veterinary-service/detail/9370978.html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the-state-veterinary-service/detail/93709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the-state-veterinary-service/detail/93709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2024-05-19T03:21:16Z</dcterms:created>
  <dcterms:modified xsi:type="dcterms:W3CDTF">2024-05-19T03:21:16Z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