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ортал-mos.ru-теперь-и-для-животных"/>
    <w:p>
      <w:pPr>
        <w:pStyle w:val="Heading3"/>
      </w:pPr>
      <w:r>
        <w:t xml:space="preserve">Портал mos.ru теперь и для животных</w:t>
      </w:r>
    </w:p>
    <w:p>
      <w:pPr>
        <w:pStyle w:val="FirstParagraph"/>
      </w:pPr>
      <w:r>
        <w:t xml:space="preserve">18.04.2019</w:t>
      </w:r>
    </w:p>
    <w:p>
      <w:pPr>
        <w:pStyle w:val="BodyText"/>
      </w:pPr>
      <w:r>
        <w:drawing>
          <wp:inline>
            <wp:extent cx="5334000" cy="75966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upload/medialibrary/cab/veterinar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http://brateevo.mos.ru/the-state-veterinary-service/detail/8032756.html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80327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80327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2024-09-21T12:36:06Z</dcterms:created>
  <dcterms:modified xsi:type="dcterms:W3CDTF">2024-09-21T12:36:06Z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