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c298a1cb638f102301816b48329551464dbac0"/>
    <w:p>
      <w:pPr>
        <w:pStyle w:val="Heading3"/>
      </w:pPr>
      <w:r>
        <w:t xml:space="preserve">Информационная памятка для владельцев восприимчивых животных. Губкообразная энцефалопатия крупного рогатого скота (ГЭ КРС)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drawing>
          <wp:inline>
            <wp:extent cx="5334000" cy="376935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ГЭ%20КРС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3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http://brateevo.mos.ru/the-state-veterinary-service/detail/12497306.html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12497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12497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2025-04-10T00:06:04Z</dcterms:created>
  <dcterms:modified xsi:type="dcterms:W3CDTF">2025-04-10T00:06:04Z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