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483db07dd1854097228cfed8e671804280b203"/>
    <w:p>
      <w:pPr>
        <w:pStyle w:val="Heading3"/>
      </w:pPr>
      <w:r>
        <w:t xml:space="preserve">Информационная памятка для владельцев восприимчивых животных. Высокопатогенный грипп птиц</w:t>
      </w:r>
    </w:p>
    <w:p>
      <w:pPr>
        <w:pStyle w:val="FirstParagraph"/>
      </w:pPr>
      <w:r>
        <w:t xml:space="preserve">29.07.2024</w:t>
      </w:r>
    </w:p>
    <w:p>
      <w:pPr>
        <w:pStyle w:val="BodyText"/>
      </w:pPr>
      <w:r>
        <w:drawing>
          <wp:inline>
            <wp:extent cx="5334000" cy="37717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ВГП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http://brateevo.mos.ru/the-state-veterinary-service/detail/12497302.html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state-veterinary-service/detail/124973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state-veterinary-service/detail/124973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2025-04-10T00:06:14Z</dcterms:created>
  <dcterms:modified xsi:type="dcterms:W3CDTF">2025-04-10T00:06:14Z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