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89dab3a5628d4273764e952d51b92ff41d656c"/>
    <w:p>
      <w:pPr>
        <w:pStyle w:val="Heading3"/>
      </w:pPr>
      <w:r>
        <w:t xml:space="preserve">Информационная памятка для владельцев восприимчивых животных. Болезнь Ньюкасла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drawing>
          <wp:inline>
            <wp:extent cx="5334000" cy="37697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Болезнь%20Ньюкасл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http://brateevo.mos.ru/the-state-veterinary-service/detail/12497290.html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124972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124972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2025-08-02T21:22:45Z</dcterms:created>
  <dcterms:modified xsi:type="dcterms:W3CDTF">2025-08-02T21:22:45Z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