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602dda77bb8da7bed0064d3a43e285d122e57b"/>
    <w:p>
      <w:pPr>
        <w:pStyle w:val="Heading3"/>
      </w:pPr>
      <w:r>
        <w:t xml:space="preserve">Об организации прививочной кампании против бешенства домашних животных на территории ЮАО в 2024 г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drawing>
          <wp:inline>
            <wp:extent cx="5334000" cy="82507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35/5a1bu4txk2r5dq8uxhcmk1qqp9lc710t/Slay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507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5477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98/jqnobvpl8i1s4pqr276wbf1361zlay1q/Slayd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547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6836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83/l7hqlc0hqhwizw16lrbak7wcdbmz1i24/Slayd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68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http://brateevo.mos.ru/the-state-veterinary-service/detail/12025125.html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the-state-veterinary-service/detail/12025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the-state-veterinary-service/detail/12025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2024-09-21T21:15:44Z</dcterms:created>
  <dcterms:modified xsi:type="dcterms:W3CDTF">2024-09-21T21:15:44Z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