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622c24dc557e78fa3a12e59d573fa03cf58fb"/>
    <w:p>
      <w:pPr>
        <w:pStyle w:val="Heading3"/>
      </w:pPr>
      <w:r>
        <w:t xml:space="preserve">Государственная ветеринарная служба проводит бесплатную вакцинацию животных против бешенства</w:t>
      </w:r>
    </w:p>
    <w:p>
      <w:pPr>
        <w:pStyle w:val="FirstParagraph"/>
      </w:pPr>
      <w:r>
        <w:t xml:space="preserve">08.06.2023</w:t>
      </w:r>
    </w:p>
    <w:p>
      <w:pPr>
        <w:pStyle w:val="BodyText"/>
      </w:pPr>
      <w:r>
        <w:drawing>
          <wp:inline>
            <wp:extent cx="5334000" cy="677669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dfb/ms8z42wfkgbds1x5iu06263slz1px7h7/10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76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http://brateevo.mos.ru/the-state-veterinary-service/detail/11641232.html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1641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the-state-veterinary-service/detail/11641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2024-07-29T01:01:57Z</dcterms:created>
  <dcterms:modified xsi:type="dcterms:W3CDTF">2024-07-29T01:01:57Z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