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e04dda013e07e49c5541d19b65762cb8a1b0802"/>
    <w:p>
      <w:pPr>
        <w:pStyle w:val="Heading3"/>
      </w:pPr>
      <w:r>
        <w:t xml:space="preserve">Шалость с огнём. Рекомендации для родителей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drawing>
          <wp:inline>
            <wp:extent cx="5334000" cy="51666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Шалость%20с%20огнем%20-%2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6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Шалость%20с%20огнем%20-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Шалость%20с%20огнем%20-%20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Шалость%20с%20огнем%20-%204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Шалость%20с%20огнем%20-%205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http://brateevo.mos.ru/the-ministry-of-emergency-situations-informs/detail/12789122.html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the-ministry-of-emergency-situations-informs/detail/12789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the-ministry-of-emergency-situations-informs/detail/12789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2025-04-10T00:33:36Z</dcterms:created>
  <dcterms:modified xsi:type="dcterms:W3CDTF">2025-04-10T00:33:36Z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