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dd12ce05a2c3d2562750ef7a1a51c9e96980f"/>
    <w:p>
      <w:pPr>
        <w:pStyle w:val="Heading3"/>
      </w:pPr>
      <w:r>
        <w:t xml:space="preserve">Информация для будущих абитуриентов Академии ГПС МЧС России</w:t>
      </w:r>
    </w:p>
    <w:p>
      <w:pPr>
        <w:pStyle w:val="FirstParagraph"/>
      </w:pPr>
      <w:r>
        <w:t xml:space="preserve">17.12.2024</w:t>
      </w:r>
    </w:p>
    <w:p>
      <w:pPr>
        <w:pStyle w:val="BodyText"/>
      </w:pPr>
      <w:r>
        <w:t xml:space="preserve">Для каждого выпускника поступление в вуз является важным этапом в жизни. Правильный выбор образовательного учреждения во многом предопределяет успех в карьере и в жизни. Академия Государственной противопожарной службы МЧС России напоминает основные моменты, которые нужно знать каждому абитуриенту.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http://brateevo.mos.ru/the-ministry-of-emergency-situations-informs/detail/12723012.html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ministry-of-emergency-situations-informs/detail/127230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ministry-of-emergency-situations-informs/detail/127230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2025-08-03T12:47:04Z</dcterms:created>
  <dcterms:modified xsi:type="dcterms:W3CDTF">2025-08-03T12:47:04Z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