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безопасный-пикник"/>
    <w:p>
      <w:pPr>
        <w:pStyle w:val="Heading3"/>
      </w:pPr>
      <w:r>
        <w:t xml:space="preserve">Безопасный пикник</w:t>
      </w:r>
    </w:p>
    <w:p>
      <w:pPr>
        <w:pStyle w:val="FirstParagraph"/>
      </w:pPr>
      <w:r>
        <w:t xml:space="preserve">26.04.2023</w:t>
      </w:r>
    </w:p>
    <w:p>
      <w:pPr>
        <w:pStyle w:val="BodyText"/>
      </w:pPr>
      <w:r>
        <w:drawing>
          <wp:inline>
            <wp:extent cx="5334000" cy="30472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2f3/hkh4d8p9en7j94a0l8xg39jwjllxzgco/1_SHashlyk_1952kh111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472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http://brateevo.mos.ru/the-ministry-of-emergency-situations-informs/detail/11556401.html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ministry-of-emergency-situations-informs/detail/115564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ministry-of-emergency-situations-informs/detail/115564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2024-10-13T02:24:48Z</dcterms:created>
  <dcterms:modified xsi:type="dcterms:W3CDTF">2024-10-13T02:24:48Z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