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5da98a0679626aec843fcb5fb3065b73004a85"/>
    <w:p>
      <w:pPr>
        <w:pStyle w:val="Heading3"/>
      </w:pPr>
      <w:r>
        <w:t xml:space="preserve">План-график закупок товаров, работ, услуг на 2021 финансовый год и на плановый период 2022 и 2023 годов</w:t>
      </w:r>
    </w:p>
    <w:p>
      <w:pPr>
        <w:pStyle w:val="FirstParagraph"/>
      </w:pPr>
      <w:r>
        <w:t xml:space="preserve">20.08.2021</w:t>
      </w:r>
    </w:p>
    <w:p>
      <w:pPr>
        <w:pStyle w:val="BodyText"/>
      </w:pPr>
      <w:r>
        <w:t xml:space="preserve">План-график закупок товаров, работ, услуг на 2021 финансовый год и на плановый период 2022 и 2023 годов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http://brateevo.mos.ru/tenders/schedule/detail/10195271.html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tenders/schedule/detail/1019527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tenders/schedule/detail/1019527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2025-04-10T00:11:56Z</dcterms:created>
  <dcterms:modified xsi:type="dcterms:W3CDTF">2025-04-10T00:11:56Z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