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извещение-ул.ключевая-д.22-к.2"/>
    <w:p>
      <w:pPr>
        <w:pStyle w:val="Heading3"/>
      </w:pPr>
      <w:r>
        <w:t xml:space="preserve">ИЗВЕЩЕНИЕ ул.Ключевая, д.22, к.2</w:t>
      </w:r>
    </w:p>
    <w:p>
      <w:pPr>
        <w:pStyle w:val="FirstParagraph"/>
      </w:pPr>
      <w:r>
        <w:t xml:space="preserve">03.08.2018</w:t>
      </w:r>
    </w:p>
    <w:p>
      <w:pPr>
        <w:pStyle w:val="BodyText"/>
      </w:pPr>
      <w:r>
        <w:rPr>
          <w:iCs/>
          <w:i/>
        </w:rPr>
        <w:t xml:space="preserve">ИЗВЕЩЕНИЕ ул.Ключевая, д.22, корп.2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http://brateevo.mos.ru/socially-oriented-non-commercial-organizations-/detail/7487463.html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socially-oriented-non-commercial-organizations-/detail/74874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socially-oriented-non-commercial-organizations-/detail/74874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2024-08-21T11:56:50Z</dcterms:created>
  <dcterms:modified xsi:type="dcterms:W3CDTF">2024-08-21T11:56:50Z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