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25fccd761a87448b135a0a17bfeb2a9a8f18ae"/>
    <w:p>
      <w:pPr>
        <w:pStyle w:val="Heading3"/>
      </w:pPr>
      <w:r>
        <w:t xml:space="preserve">Проводится набор детей с 5 до 18 лет в группы по плаванию и влаванию в ластах</w:t>
      </w:r>
    </w:p>
    <w:p>
      <w:pPr>
        <w:pStyle w:val="FirstParagraph"/>
      </w:pPr>
      <w:r>
        <w:t xml:space="preserve">04.08.2016</w:t>
      </w:r>
    </w:p>
    <w:p>
      <w:pPr>
        <w:pStyle w:val="BodyText"/>
      </w:pPr>
      <w:r>
        <w:drawing>
          <wp:inline>
            <wp:extent cx="5334000" cy="38288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legislation/rjcdfsxgrcv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288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http://brateevo.mos.ru/socially-oriented-non-commercial-organizations-/detail/3473302.html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detail/34733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detail/34733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2024-10-04T17:17:19Z</dcterms:created>
  <dcterms:modified xsi:type="dcterms:W3CDTF">2024-10-04T17:17:19Z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