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етский-благотворительный-фонд-джамбори"/>
    <w:p>
      <w:pPr>
        <w:pStyle w:val="Heading3"/>
      </w:pPr>
      <w:r>
        <w:t xml:space="preserve">Детский благотворительный фонд "ДЖАМБОРИ"</w:t>
      </w:r>
    </w:p>
    <w:p>
      <w:pPr>
        <w:pStyle w:val="FirstParagraph"/>
      </w:pPr>
      <w:r>
        <w:t xml:space="preserve">28.07.2016</w:t>
      </w:r>
    </w:p>
    <w:p>
      <w:pPr>
        <w:pStyle w:val="BodyText"/>
      </w:pPr>
      <w:r>
        <w:drawing>
          <wp:inline>
            <wp:extent cx="5334000" cy="75157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legislation/джамбори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15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http://brateevo.mos.ru/socially-oriented-non-commercial-organizations-/detail/3432020.html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detail/34320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detail/34320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2023-08-22T13:56:29Z</dcterms:created>
  <dcterms:modified xsi:type="dcterms:W3CDTF">2023-08-22T13:56:29Z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