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детский-развивающий-центр-радость"/>
    <w:p>
      <w:pPr>
        <w:pStyle w:val="Heading3"/>
      </w:pPr>
      <w:r>
        <w:t xml:space="preserve">Детский развивающий центр «РАДОСТЬ»</w:t>
      </w:r>
    </w:p>
    <w:p>
      <w:pPr>
        <w:pStyle w:val="FirstParagraph"/>
      </w:pPr>
      <w:r>
        <w:t xml:space="preserve">28.07.2016</w:t>
      </w:r>
    </w:p>
    <w:p>
      <w:pPr>
        <w:pStyle w:val="BodyText"/>
      </w:pPr>
      <w:r>
        <w:drawing>
          <wp:inline>
            <wp:extent cx="5334000" cy="749852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legislation/Радость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985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http://brateevo.mos.ru/socially-oriented-non-commercial-organizations-/detail/3431921.html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ocially-oriented-non-commercial-organizations-/detail/34319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ocially-oriented-non-commercial-organizations-/detail/34319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2024-10-12T07:28:45Z</dcterms:created>
  <dcterms:modified xsi:type="dcterms:W3CDTF">2024-10-12T07:28:45Z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