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7cd522e54f2f9bebb4324978f5b87ba678b9300"/>
    <w:p>
      <w:pPr>
        <w:pStyle w:val="Heading3"/>
      </w:pPr>
      <w:r>
        <w:t xml:space="preserve">Протокол №3. Анализ и сопоставление заявок на участие в Конкурсе на право заключения на безопасной основе договора на реализацию социальной программы от 20.09.2024</w:t>
      </w:r>
    </w:p>
    <w:p>
      <w:pPr>
        <w:pStyle w:val="FirstParagraph"/>
      </w:pPr>
      <w:r>
        <w:t xml:space="preserve">20.09.2024</w:t>
      </w:r>
    </w:p>
    <w:p>
      <w:pPr>
        <w:pStyle w:val="BodyText"/>
      </w:pPr>
      <w:hyperlink r:id="rId20">
        <w:r>
          <w:rPr>
            <w:rStyle w:val="Hyperlink"/>
          </w:rPr>
          <w:t xml:space="preserve">Протокол №3 от 20 сентября 2024 г. Анализ и сопоставление заявок на участие в Конкурсе, принятие рекомендаций по определению победителя Конкурса на право заключения на безопасной основе договора на реализацию социальной программы (проект)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расположенных на территории района Братеево.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http://brateevo.mos.ru/socially-oriented-non-commercial-organizations-/detail/12577397.html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&#1055;&#1088;&#1086;&#1090;&#1086;&#1082;&#1086;&#1083;%20&#8470;%203%20&#1086;&#1090;%2020.09.2024.pdf" TargetMode="External" /><Relationship Type="http://schemas.openxmlformats.org/officeDocument/2006/relationships/hyperlink" Id="rId22" Target="http://brateevo.mos.ru" TargetMode="External" /><Relationship Type="http://schemas.openxmlformats.org/officeDocument/2006/relationships/hyperlink" Id="rId21" Target="http://brateevo.mos.ru/socially-oriented-non-commercial-organizations-/detail/1257739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&#1055;&#1088;&#1086;&#1090;&#1086;&#1082;&#1086;&#1083;%20&#8470;%203%20&#1086;&#1090;%2020.09.2024.pdf" TargetMode="External" /><Relationship Type="http://schemas.openxmlformats.org/officeDocument/2006/relationships/hyperlink" Id="rId22" Target="http://brateevo.mos.ru" TargetMode="External" /><Relationship Type="http://schemas.openxmlformats.org/officeDocument/2006/relationships/hyperlink" Id="rId21" Target="http://brateevo.mos.ru/socially-oriented-non-commercial-organizations-/detail/1257739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2025-04-10T01:05:41Z</dcterms:created>
  <dcterms:modified xsi:type="dcterms:W3CDTF">2025-04-10T01:05:41Z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