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953264bd2ff09d50f31fba42b4623c92a05fc"/>
    <w:p>
      <w:pPr>
        <w:pStyle w:val="Heading3"/>
      </w:pPr>
      <w:r>
        <w:t xml:space="preserve">Протокол № 2 рассмотрения заявок на участие в конкурсе на право заключения на безвозмездной основе договоров на реализацию социальных программ (проектов) от 16.09.2024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№2 рассмотрения заявок 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расположенных на территории района Братеево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http://brateevo.mos.ru/socially-oriented-non-commercial-organizations-/detail/12568682.html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90;&#1086;&#1082;&#1086;&#1083;%20&#8470;%202%20&#1056;&#1072;&#1089;&#1089;&#1084;&#1086;&#1090;&#1088;&#1077;&#1085;&#1080;&#1077;%20&#1079;&#1072;&#1103;&#1074;&#1086;&#1082;%20&#1086;&#1090;%2016.09.2024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detail/12568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90;&#1086;&#1082;&#1086;&#1083;%20&#8470;%202%20&#1056;&#1072;&#1089;&#1089;&#1084;&#1086;&#1090;&#1088;&#1077;&#1085;&#1080;&#1077;%20&#1079;&#1072;&#1103;&#1074;&#1086;&#1082;%20&#1086;&#1090;%2016.09.2024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detail/12568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2025-04-10T01:05:39Z</dcterms:created>
  <dcterms:modified xsi:type="dcterms:W3CDTF">2025-04-10T01:05:39Z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