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428a47d8214941ba6052ed35fd42276ed95d118"/>
    <w:p>
      <w:pPr>
        <w:pStyle w:val="Heading3"/>
      </w:pPr>
      <w:r>
        <w:t xml:space="preserve">13 и 20 апреля 2024г. Наш клуб принял участие в общегородском субботнике на территории клуба и близлежащей.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OzmizMQXTu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OGzNWhI4sx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QwYL_xqPoPg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QoEZHd4S-hU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kcBWLJKeQE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Ec1XBoBKakE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http://brateevo.mos.ru/socially-oriented-non-commercial-organizations-/avtonomnaya-nekommercheskaya-organizatsiya-sportivnyy-klub-kvadrat-/detail/12359992.html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socially-oriented-non-commercial-organizations-/avtonomnaya-nekommercheskaya-organizatsiya-sportivnyy-klub-kvadrat-/detail/12359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socially-oriented-non-commercial-organizations-/avtonomnaya-nekommercheskaya-organizatsiya-sportivnyy-klub-kvadrat-/detail/12359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2024-08-20T19:03:39Z</dcterms:created>
  <dcterms:modified xsi:type="dcterms:W3CDTF">2024-08-20T19:03:39Z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