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тчет-по-мероприятиям-за-1-квартал-2024"/>
    <w:p>
      <w:pPr>
        <w:pStyle w:val="Heading3"/>
      </w:pPr>
      <w:r>
        <w:t xml:space="preserve">Отчет по мероприятиям за 1 квартал 2024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hyperlink r:id="rId20">
        <w:r>
          <w:rPr>
            <w:rStyle w:val="Hyperlink"/>
          </w:rPr>
          <w:t xml:space="preserve">ОТЧЁТ за 1 квартал 2024 года АНО СК МФЛ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отчету 1 квартал 2024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http://brateevo.mos.ru/socially-oriented-non-commercial-organizations-/avtonomnaya-nekommercheskaya-organizatsiya-sportivnyy-klub-kvadrat-/detail/12276324.html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8;&#1063;&#1025;&#1058;%20&#1079;&#1072;%201%20&#1082;&#1074;&#1072;&#1088;&#1090;&#1072;&#1083;%202024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1%20&#1082;&#1074;&#1072;&#1088;&#1090;&#1072;&#1083;%202024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sportivnyy-klub-kvadrat-/detail/12276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8;&#1063;&#1025;&#1058;%20&#1079;&#1072;%201%20&#1082;&#1074;&#1072;&#1088;&#1090;&#1072;&#1083;%202024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1%20&#1082;&#1074;&#1072;&#1088;&#1090;&#1072;&#1083;%202024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sportivnyy-klub-kvadrat-/detail/12276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2025-05-06T21:47:09Z</dcterms:created>
  <dcterms:modified xsi:type="dcterms:W3CDTF">2025-05-06T21:47:09Z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