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лан-мероприятий-на-июль-2023-г."/>
    <w:p>
      <w:pPr>
        <w:pStyle w:val="Heading3"/>
      </w:pPr>
      <w:r>
        <w:t xml:space="preserve">План мероприятий на июль 2023 г.</w:t>
      </w:r>
    </w:p>
    <w:p>
      <w:pPr>
        <w:pStyle w:val="FirstParagraph"/>
      </w:pPr>
      <w:r>
        <w:t xml:space="preserve">12.07.2023</w:t>
      </w:r>
    </w:p>
    <w:p>
      <w:pPr>
        <w:pStyle w:val="BodyText"/>
      </w:pPr>
      <w:r>
        <w:drawing>
          <wp:inline>
            <wp:extent cx="5334000" cy="38859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dc2/j08zq1vz797m1rwblre1ylz1t7bahirl/_-_-_-_-2023-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5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http://brateevo.mos.ru/socially-oriented-non-commercial-organizations-/avtonomnaya-nekommercheskaya-organizatsiya-sportivnyy-klub-kvadrat-/detail/11712116.html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1712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1712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2023-07-12T23:42:48Z</dcterms:created>
  <dcterms:modified xsi:type="dcterms:W3CDTF">2023-07-12T23:42:48Z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