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тчет-по-мероприятиям-за-апрель-2023-г."/>
    <w:p>
      <w:pPr>
        <w:pStyle w:val="Heading3"/>
      </w:pPr>
      <w:r>
        <w:t xml:space="preserve">Отчет по мероприятиям за апрель 2023 г.</w:t>
      </w:r>
    </w:p>
    <w:p>
      <w:pPr>
        <w:pStyle w:val="FirstParagraph"/>
      </w:pPr>
      <w:r>
        <w:t xml:space="preserve">12.05.2023</w:t>
      </w:r>
    </w:p>
    <w:p>
      <w:pPr>
        <w:pStyle w:val="BodyText"/>
      </w:pPr>
      <w:r>
        <w:drawing>
          <wp:inline>
            <wp:extent cx="5334000" cy="38859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cc1/jcqmsfwaqnc0pcc3d4gd3crqr0i0mcjy/otchet-meropriyatiy-za-aprel-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859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http://brateevo.mos.ru/socially-oriented-non-commercial-organizations-/avtonomnaya-nekommercheskaya-organizatsiya-sportivnyy-klub-kvadrat-/detail/11582777.html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avtonomnaya-nekommercheskaya-organizatsiya-sportivnyy-klub-kvadrat-/detail/115827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avtonomnaya-nekommercheskaya-organizatsiya-sportivnyy-klub-kvadrat-/detail/115827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2024-04-27T12:50:08Z</dcterms:created>
  <dcterms:modified xsi:type="dcterms:W3CDTF">2024-04-27T12:50:08Z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