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отчет-по-мероприятиям-за-март-2023"/>
    <w:p>
      <w:pPr>
        <w:pStyle w:val="Heading3"/>
      </w:pPr>
      <w:r>
        <w:t xml:space="preserve">Отчет по мероприятиям за март 2023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drawing>
          <wp:inline>
            <wp:extent cx="5334000" cy="388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227/mz0g1ijnk2jt91n5fg4fy8pqlajjuq5d/Kvadrat-otchet-mart-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8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http://brateevo.mos.ru/socially-oriented-non-commercial-organizations-/avtonomnaya-nekommercheskaya-organizatsiya-sportivnyy-klub-kvadrat-/detail/11518135.html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5181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ocially-oriented-non-commercial-organizations-/avtonomnaya-nekommercheskaya-organizatsiya-sportivnyy-klub-kvadrat-/detail/115181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2024-08-23T14:34:32Z</dcterms:created>
  <dcterms:modified xsi:type="dcterms:W3CDTF">2024-08-23T14:34:32Z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