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9419e5b525ee6d4d89a2c88ecffa435d652c36"/>
    <w:p>
      <w:pPr>
        <w:pStyle w:val="Heading3"/>
      </w:pPr>
      <w:r>
        <w:t xml:space="preserve">План спортивных и досуговых мероприятий на 4 квартал 2023 года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hyperlink r:id="rId20">
        <w:r>
          <w:rPr>
            <w:rStyle w:val="Hyperlink"/>
          </w:rPr>
          <w:t xml:space="preserve">План спортивных и досуговых мероприятий на 4 квартал 2023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http://brateevo.mos.ru/socially-oriented-non-commercial-organizations-/avtonomnaya-nekommercheskaya-organizatsiya-mfl-brateevo/detail/11826100.html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51;&#1040;&#1053;%20&#1053;&#1040;%204%20&#1050;&#1042;&#1040;&#1056;&#1058;&#1040;&#1051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avtonomnaya-nekommercheskaya-organizatsiya-mfl-brateevo/detail/11826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51;&#1040;&#1053;%20&#1053;&#1040;%204%20&#1050;&#1042;&#1040;&#1056;&#1058;&#1040;&#1051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avtonomnaya-nekommercheskaya-organizatsiya-mfl-brateevo/detail/11826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2025-04-10T01:02:38Z</dcterms:created>
  <dcterms:modified xsi:type="dcterms:W3CDTF">2025-04-10T01:02:38Z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