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к-получить-вычет-на-медуслуги"/>
    <w:p>
      <w:pPr>
        <w:pStyle w:val="Heading3"/>
      </w:pPr>
      <w:r>
        <w:t xml:space="preserve">Как получить вычет на медуслуги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hyperlink r:id="rId20">
        <w:r>
          <w:rPr>
            <w:rStyle w:val="Hyperlink"/>
          </w:rPr>
          <w:t xml:space="preserve">Как получить вычет на медуслуги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http://brateevo.mos.ru/safety-and-security/the-irs/detail/12877245.html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_&#1050;&#1072;&#1082;%20&#1087;&#1086;&#1083;&#1091;&#1095;&#1080;&#1090;&#1100;%20&#1074;&#1099;&#1095;&#1077;&#1090;%20&#1085;&#1072;%20&#1084;&#1077;&#1076;&#1091;&#1089;&#1083;&#1091;&#1075;&#1080;%20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2877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_&#1050;&#1072;&#1082;%20&#1087;&#1086;&#1083;&#1091;&#1095;&#1080;&#1090;&#1100;%20&#1074;&#1099;&#1095;&#1077;&#1090;%20&#1085;&#1072;%20&#1084;&#1077;&#1076;&#1091;&#1089;&#1083;&#1091;&#1075;&#1080;%20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2877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2025-04-11T03:01:29Z</dcterms:created>
  <dcterms:modified xsi:type="dcterms:W3CDTF">2025-04-11T03:01:29Z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