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получить-имущественный-вычет"/>
    <w:p>
      <w:pPr>
        <w:pStyle w:val="Heading3"/>
      </w:pPr>
      <w:r>
        <w:t xml:space="preserve">Как получить имущественный вычет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имущественный вычет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http://brateevo.mos.ru/safety-and-security/the-irs/detail/12877236.html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2025-04-10T07:14:47Z</dcterms:created>
  <dcterms:modified xsi:type="dcterms:W3CDTF">2025-04-10T07:14:47Z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