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к-получить-вычет-за-обучение"/>
    <w:p>
      <w:pPr>
        <w:pStyle w:val="Heading3"/>
      </w:pPr>
      <w:r>
        <w:t xml:space="preserve">Как получить вычет за обучение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hyperlink r:id="rId20">
        <w:r>
          <w:rPr>
            <w:rStyle w:val="Hyperlink"/>
          </w:rPr>
          <w:t xml:space="preserve">Как получить вычет за обучение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http://brateevo.mos.ru/safety-and-security/the-irs/detail/12877233.html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_&#1050;&#1072;&#1082;%20&#1087;&#1086;&#1083;&#1091;&#1095;&#1080;&#1090;&#1100;%20&#1074;&#1099;&#1095;&#1077;&#1090;%20&#1079;&#1072;%20&#1086;&#1073;&#1091;&#1095;&#1077;&#1085;&#1080;&#1077;%20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2877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_&#1050;&#1072;&#1082;%20&#1087;&#1086;&#1083;&#1091;&#1095;&#1080;&#1090;&#1100;%20&#1074;&#1099;&#1095;&#1077;&#1090;%20&#1079;&#1072;%20&#1086;&#1073;&#1091;&#1095;&#1077;&#1085;&#1080;&#1077;%20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2877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2025-05-15T15:54:42Z</dcterms:created>
  <dcterms:modified xsi:type="dcterms:W3CDTF">2025-05-15T15:54:42Z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