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Законе г. Москвы от 09.07.2008 № 33 «О транспортном налоге»</w:t>
      </w:r>
      <w:r>
        <w:t xml:space="preserve"> </w:t>
      </w:r>
      <w:r>
        <w:rPr>
          <w:bCs/>
          <w:b/>
        </w:rPr>
        <w:t xml:space="preserve">( в том числе ветераны боевых действий, инвалиды боевых действий и инвалиды I и II групп</w:t>
      </w:r>
      <w:r>
        <w:t xml:space="preserve">)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налогу, налоговых льгот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 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http://brateevo.mos.ru/safety-and-security/the-irs/detail/12814392.html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brateevo.mos.ru" TargetMode="External" /><Relationship Type="http://schemas.openxmlformats.org/officeDocument/2006/relationships/hyperlink" Id="rId31" Target="http://brateevo.mos.ru/safety-and-security/the-irs/detail/12814392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brateevo.mos.ru" TargetMode="External" /><Relationship Type="http://schemas.openxmlformats.org/officeDocument/2006/relationships/hyperlink" Id="rId31" Target="http://brateevo.mos.ru/safety-and-security/the-irs/detail/12814392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2025-04-10T00:46:17Z</dcterms:created>
  <dcterms:modified xsi:type="dcterms:W3CDTF">2025-04-10T00:46:17Z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