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960bd7f111508f2277d6cde757f3c3565a237"/>
    <w:p>
      <w:pPr>
        <w:pStyle w:val="Heading3"/>
      </w:pPr>
      <w:r>
        <w:t xml:space="preserve">Взыскание задолженности с организаций, индивидуальных предпринимателей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Вы не исполнили обязанность по уплате налогов, авансовых платежей по налогам, сборов, страховых взносов, пеней, штрафов, процентов, в установленный законодательством срок, что повлекло формирование отрицательного сальдо единого налогового счета налогоплательщика? Налоговый орган взыщет задолженность!</w:t>
      </w:r>
    </w:p>
    <w:p>
      <w:pPr>
        <w:pStyle w:val="BodyText"/>
      </w:pPr>
      <w:r>
        <w:t xml:space="preserve">Процедура взыскания представляет собой взыскание задолженности за счет денежных средств (драгоценных металлов) на счетах налогоплательщика и за счет иного имущества должника.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451465" cy="25062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Взыскание%20задолженности%20с%20организаций,%20индивидуальных%20предпринимателе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465" cy="25062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http://brateevo.mos.ru/safety-and-security/the-irs/detail/12737070.html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737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737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2025-08-02T13:46:58Z</dcterms:created>
  <dcterms:modified xsi:type="dcterms:W3CDTF">2025-08-02T13:46:58Z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