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7af1d94b552cd17834f8f3d27a04921b2548e"/>
    <w:p>
      <w:pPr>
        <w:pStyle w:val="Heading3"/>
      </w:pPr>
      <w:r>
        <w:t xml:space="preserve">Могут ли списать средства с ЕНС индивидуального предпринимателя, в счет уплаты имущественных налогов физического лица?</w:t>
      </w:r>
    </w:p>
    <w:p>
      <w:pPr>
        <w:pStyle w:val="FirstParagraph"/>
      </w:pPr>
      <w:r>
        <w:t xml:space="preserve">04.12.2024</w:t>
      </w:r>
    </w:p>
    <w:p>
      <w:pPr>
        <w:pStyle w:val="BodyText"/>
      </w:pPr>
      <w:r>
        <w:t xml:space="preserve">Поскольку ЕНС у налогоплательщиков – физических лиц, зарегистрированных в качестве индивидуального предпринимателя, один, ЕНП распределяется по всем обязательствам, вне зависимости от того, для погашения каких налогов предназначалась уплата.</w:t>
      </w:r>
    </w:p>
    <w:p>
      <w:pPr>
        <w:pStyle w:val="BodyText"/>
      </w:pPr>
      <w:r>
        <w:t xml:space="preserve">При формировании сводного налогового уведомления, имеющаяся сумма на ЕНС, резервируется налоговым органом для уплаты имущественных налогов. Если до 2 декабря появится недоимка по иным налогам и денег на ЕНС будет недостаточно, резерв будет отменен и сумма резервов погасит обязательства с более ранним сроком.</w:t>
      </w:r>
    </w:p>
    <w:p>
      <w:pPr>
        <w:pStyle w:val="BodyText"/>
      </w:pPr>
      <w:r>
        <w:t xml:space="preserve">Например:</w:t>
      </w:r>
    </w:p>
    <w:p>
      <w:pPr>
        <w:pStyle w:val="BodyText"/>
      </w:pPr>
      <w:r>
        <w:t xml:space="preserve">13 сентября налогоплательщик получил сводное налоговое уведомление с информацией об обязанности по уплате имущественных налогов по сроку уплаты 02 декабря в сумме 100 руб.</w:t>
      </w:r>
    </w:p>
    <w:p>
      <w:pPr>
        <w:pStyle w:val="BodyText"/>
      </w:pPr>
      <w:r>
        <w:t xml:space="preserve">16 октября налогоплательщиком производен платеж на ЕНП в сумме 100 руб.</w:t>
      </w:r>
    </w:p>
    <w:p>
      <w:pPr>
        <w:pStyle w:val="BodyText"/>
      </w:pPr>
      <w:r>
        <w:t xml:space="preserve">17 октября (то есть до наступления срока уплаты) внесенная сумма на ЕНП распределится в счет уплаты имущественных налогов по сроку уплаты 02 декабря.</w:t>
      </w:r>
    </w:p>
    <w:p>
      <w:pPr>
        <w:pStyle w:val="BodyText"/>
      </w:pPr>
      <w:r>
        <w:t xml:space="preserve">28 октября наступает обязанность по уплате авансового платежа по УСН на основании ранее направленного уведомления об исчисленных суммах.</w:t>
      </w:r>
    </w:p>
    <w:p>
      <w:pPr>
        <w:pStyle w:val="BodyText"/>
      </w:pPr>
      <w:r>
        <w:t xml:space="preserve">Если на ЕНП отсутствуют средства, по сроку 28 октября производится автоматическое перераспределение суммы 100 руб. с имущественных налогов в УСН без начисления пеней.</w:t>
      </w:r>
    </w:p>
    <w:p>
      <w:pPr>
        <w:pStyle w:val="BodyText"/>
      </w:pPr>
      <w:r>
        <w:t xml:space="preserve">Таким образом, налогоплательщик исполнит обязанность по уплате УСН, но до 02 декабря ему потребуется внести на ЕНП 100 руб. для исполнения обязательств по имущественным налогам.</w:t>
      </w:r>
    </w:p>
    <w:p>
      <w:pPr>
        <w:pStyle w:val="BodyText"/>
      </w:pPr>
      <w:r>
        <w:t xml:space="preserve">Источник:</w:t>
      </w:r>
    </w:p>
    <w:p>
      <w:pPr>
        <w:pStyle w:val="BodyText"/>
      </w:pPr>
      <w:r>
        <w:t xml:space="preserve">Пункт 4 статьи 11.3 Налогового кодекса Российской Федерации;</w:t>
      </w:r>
    </w:p>
    <w:p>
      <w:pPr>
        <w:pStyle w:val="BodyText"/>
      </w:pPr>
      <w:r>
        <w:t xml:space="preserve">статья 45 Налогового кодекса Российской Федерации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http://brateevo.mos.ru/safety-and-security/the-irs/detail/12702707.html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the-irs/detail/12702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the-irs/detail/12702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2025-04-10T00:44:12Z</dcterms:created>
  <dcterms:modified xsi:type="dcterms:W3CDTF">2025-04-10T00:44:12Z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