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b5455723e321f1ea053dba7a6e2b118db6d56"/>
    <w:p>
      <w:pPr>
        <w:pStyle w:val="Heading3"/>
      </w:pPr>
      <w:r>
        <w:t xml:space="preserve">Почему личные налоги и налоги ИП списываются с одного ЕНС?</w:t>
      </w:r>
    </w:p>
    <w:p>
      <w:pPr>
        <w:pStyle w:val="FirstParagraph"/>
      </w:pPr>
      <w:r>
        <w:t xml:space="preserve">02.10.2024</w:t>
      </w:r>
    </w:p>
    <w:p>
      <w:pPr>
        <w:pStyle w:val="BodyText"/>
      </w:pPr>
      <w:r>
        <w:t xml:space="preserve">Поскольку ЕНС у налогоплательщика – физического лица, зарегистрированного в качестве ИП, один, деньги распределяются по всем обязательствам вне зависимости от того, для погашения каких налогов предназначалась уплата.</w:t>
      </w:r>
    </w:p>
    <w:p>
      <w:pPr>
        <w:pStyle w:val="BodyText"/>
      </w:pPr>
      <w:r>
        <w:t xml:space="preserve">Индивидуальный предприниматель — это физическое лицо, зарегистрированное в установленном порядке и ведущее предпринимательскую деятельность без образования юридического лица (ст. 11 НК РФ).</w:t>
      </w:r>
    </w:p>
    <w:p>
      <w:pPr>
        <w:pStyle w:val="BodyText"/>
      </w:pPr>
      <w:r>
        <w:t xml:space="preserve">Гражданин вправе работать как ИП с момента государственной регистрации в этом качестве (ст. 23 и 24 ГК РФ).</w:t>
      </w:r>
    </w:p>
    <w:p>
      <w:pPr>
        <w:pStyle w:val="BodyText"/>
      </w:pPr>
      <w:r>
        <w:t xml:space="preserve">ИП не является новым, отдельным субъектом права, а только обеспечивает публичную регистрацию физического лица как ведущего предпринимательскую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http://brateevo.mos.ru/safety-and-security/the-irs/detail/12594136.html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594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594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2025-04-03T07:39:36Z</dcterms:created>
  <dcterms:modified xsi:type="dcterms:W3CDTF">2025-04-03T07:39:36Z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