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28ed10720f269ab40626d484815bcd055a19be"/>
    <w:p>
      <w:pPr>
        <w:pStyle w:val="Heading3"/>
      </w:pPr>
      <w:r>
        <w:t xml:space="preserve">Если налоговый орган сформировал сообщение об исчисленных суммах налогов на сумму меньше той, которую указал налогоплательщик в уведомлении об исчисленных суммах налогов</w:t>
      </w:r>
    </w:p>
    <w:p>
      <w:pPr>
        <w:pStyle w:val="FirstParagraph"/>
      </w:pPr>
      <w:r>
        <w:t xml:space="preserve">21.05.2024</w:t>
      </w:r>
    </w:p>
    <w:p>
      <w:pPr>
        <w:pStyle w:val="BodyText"/>
      </w:pPr>
      <w:r>
        <w:drawing>
          <wp:inline>
            <wp:extent cx="5334000" cy="770466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rateevo.mos.ru/www/2105202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04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http://brateevo.mos.ru/safety-and-security/the-irs/detail/12380907.html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safety-and-security/the-irs/detail/123809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safety-and-security/the-irs/detail/123809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2025-08-02T19:00:55Z</dcterms:created>
  <dcterms:modified xsi:type="dcterms:W3CDTF">2025-08-02T19:00:55Z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