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ae4c733174f2f1a32227df1ceedf7062a6b86"/>
    <w:p>
      <w:pPr>
        <w:pStyle w:val="Heading3"/>
      </w:pPr>
      <w:r>
        <w:t xml:space="preserve">Каким образом можно осуществить зачет суммы переплаты (положительного сальдо) в счет исполнения обязанности другого лица?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1405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http://brateevo.mos.ru/safety-and-security/the-irs/detail/12367668.html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367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367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2024-08-22T02:48:27Z</dcterms:created>
  <dcterms:modified xsi:type="dcterms:W3CDTF">2024-08-22T02:48:27Z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