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a697ae9cbd8e8aab594efb0d7544db6e08dce"/>
    <w:p>
      <w:pPr>
        <w:pStyle w:val="Heading3"/>
      </w:pPr>
      <w:r>
        <w:t xml:space="preserve">В какой налоговый орган нужно подавать уведомления об исчисленных налогах? Если у организации несколько обособленных подразделений, то уведомлений тоже должно быть несколько?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02,050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http://brateevo.mos.ru/safety-and-security/the-irs/detail/12351895.html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51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51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2024-12-14T03:16:50Z</dcterms:created>
  <dcterms:modified xsi:type="dcterms:W3CDTF">2024-12-14T03:16:50Z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