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5e2ea66287897392443a6f8f57e59a8479414"/>
    <w:p>
      <w:pPr>
        <w:pStyle w:val="Heading3"/>
      </w:pPr>
      <w:r>
        <w:t xml:space="preserve">2 мая истекает единый срок уплаты авансовых платежей по налогам на имущество организаций за I квартал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5.04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http://brateevo.mos.ru/safety-and-security/the-irs/detail/12337029.html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37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37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2025-01-31T00:18:35Z</dcterms:created>
  <dcterms:modified xsi:type="dcterms:W3CDTF">2025-01-31T00:18:35Z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