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d597ec54a1997124f03f030e26055b84a22551"/>
    <w:p>
      <w:pPr>
        <w:pStyle w:val="Heading3"/>
      </w:pPr>
      <w:r>
        <w:t xml:space="preserve">Как правильно заполнять уведомления, в какие сроки необходимо направлять, что делать если уведомление было направлено с ошибками?</w:t>
      </w:r>
    </w:p>
    <w:p>
      <w:pPr>
        <w:pStyle w:val="FirstParagraph"/>
      </w:pPr>
      <w:r>
        <w:t xml:space="preserve">23.04.2024</w:t>
      </w:r>
    </w:p>
    <w:p>
      <w:pPr>
        <w:pStyle w:val="BodyText"/>
      </w:pPr>
      <w:r>
        <w:drawing>
          <wp:inline>
            <wp:extent cx="5334000" cy="770466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rateevo.mos.ru/www/1604%20(2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7046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http://brateevo.mos.ru/safety-and-security/the-irs/detail/12335853.html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Братеево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3358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rateevo.mos.ru" TargetMode="External" /><Relationship Type="http://schemas.openxmlformats.org/officeDocument/2006/relationships/hyperlink" Id="rId23" Target="http://brateevo.mos.ru/safety-and-security/the-irs/detail/123358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2025-03-01T01:29:30Z</dcterms:created>
  <dcterms:modified xsi:type="dcterms:W3CDTF">2025-03-01T01:29:30Z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