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0a6ef2b2e4546f37ac59dc6401e2ec3c454afa"/>
    <w:p>
      <w:pPr>
        <w:pStyle w:val="Heading3"/>
      </w:pPr>
      <w:r>
        <w:t xml:space="preserve">Почему на Едином налоговом счете исчезли деньги?</w:t>
      </w:r>
    </w:p>
    <w:p>
      <w:pPr>
        <w:pStyle w:val="FirstParagraph"/>
      </w:pPr>
      <w:r>
        <w:t xml:space="preserve">10.01.2024</w:t>
      </w:r>
    </w:p>
    <w:p>
      <w:pPr>
        <w:pStyle w:val="BodyText"/>
      </w:pPr>
      <w:r>
        <w:drawing>
          <wp:inline>
            <wp:extent cx="5334000" cy="77038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7e3/e1h7kzrhcdq17dhjirgaenq7s432udrc/1001202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http://brateevo.mos.ru/safety-and-security/the-irs/detail/12095253.html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9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safety-and-security/the-irs/detail/1209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2025-07-17T23:23:50Z</dcterms:created>
  <dcterms:modified xsi:type="dcterms:W3CDTF">2025-07-17T23:23:50Z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