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daeb549e8aa79702c993d6fdaaa9254accd2f"/>
    <w:p>
      <w:pPr>
        <w:pStyle w:val="Heading3"/>
      </w:pPr>
      <w:r>
        <w:t xml:space="preserve">Что делать, если налоговое уведомление, владельцами налогооблагаемых объектов недвижимости и транспортных средств, не получено?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23.12.2022 № ЕД-7-21/1250@).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http://brateevo.mos.ru/safety-and-security/the-irs/detail/11977260.html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260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1977260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2023-11-13T13:26:39Z</dcterms:created>
  <dcterms:modified xsi:type="dcterms:W3CDTF">2023-11-13T13:26:39Z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