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ec496c044d045b491f985ea5b0b25e16f39fd"/>
    <w:p>
      <w:pPr>
        <w:pStyle w:val="Heading3"/>
      </w:pPr>
      <w:r>
        <w:t xml:space="preserve">Необходимо ли организации представлять Уведомления за налоговый (отчетный) период 2023 года в отношении объектов налогообложения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48/4tczz2gw3u4fo4hc2qpzkh6iqpxe6sdt/26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http://brateevo.mos.ru/safety-and-security/the-irs/detail/11856123.html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56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56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2025-04-05T06:11:56Z</dcterms:created>
  <dcterms:modified xsi:type="dcterms:W3CDTF">2025-04-05T06:11:56Z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