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7a791564f1789ea069594f00b05590a918fa67"/>
    <w:p>
      <w:pPr>
        <w:pStyle w:val="Heading3"/>
      </w:pPr>
      <w:r>
        <w:t xml:space="preserve">В какие сроки единый налоговый платеж учитывается на едином налоговом счете?</w:t>
      </w:r>
    </w:p>
    <w:p>
      <w:pPr>
        <w:pStyle w:val="FirstParagraph"/>
      </w:pPr>
      <w:r>
        <w:t xml:space="preserve">11.09.2023</w:t>
      </w:r>
    </w:p>
    <w:p>
      <w:pPr>
        <w:pStyle w:val="BodyText"/>
      </w:pPr>
      <w:r>
        <w:drawing>
          <wp:inline>
            <wp:extent cx="5334000" cy="77038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1b8/byvjtirubxzvfgrc7ckz0vrwo75rrryt/1109Upravy-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http://brateevo.mos.ru/safety-and-security/the-irs/detail/11823504.html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18235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18235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2024-11-12T09:58:18Z</dcterms:created>
  <dcterms:modified xsi:type="dcterms:W3CDTF">2024-11-12T09:58:18Z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