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999345c912d2d44faebcf89065e4508069688"/>
    <w:p>
      <w:pPr>
        <w:pStyle w:val="Heading3"/>
      </w:pPr>
      <w:r>
        <w:t xml:space="preserve">ФНС России разъяснила для ИП порядок уменьшения налога по УСН и ПСН на страховые взносы в размере 1% с доходов свыше 300 тысяч рублей</w:t>
      </w:r>
    </w:p>
    <w:p>
      <w:pPr>
        <w:pStyle w:val="FirstParagraph"/>
      </w:pPr>
      <w:r>
        <w:t xml:space="preserve">11.09.2023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f4c/tjialpvk0uxznyofery56zvxo03vae65/04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http://brateevo.mos.ru/safety-and-security/the-irs/detail/11823502.html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1823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1823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2023-09-20T12:20:53Z</dcterms:created>
  <dcterms:modified xsi:type="dcterms:W3CDTF">2023-09-20T12:20:53Z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