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a6014d80d86bbf8406907ad1b556a2cd0a88a"/>
    <w:p>
      <w:pPr>
        <w:pStyle w:val="Heading3"/>
      </w:pPr>
      <w:r>
        <w:t xml:space="preserve">Об исключении КБК из перечня налогов, уплачиваемых в качестве единого налогового платежа</w:t>
      </w:r>
    </w:p>
    <w:p>
      <w:pPr>
        <w:pStyle w:val="FirstParagraph"/>
      </w:pPr>
      <w:r>
        <w:t xml:space="preserve">28.08.2023</w:t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c78/0itytqem1oegkucegfeh98l6yseubx3z/Iskl-KBK-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http://brateevo.mos.ru/safety-and-security/the-irs/detail/11798217.html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1798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1798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2024-07-18T20:55:43Z</dcterms:created>
  <dcterms:modified xsi:type="dcterms:W3CDTF">2024-07-18T20:55:43Z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