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360272d4f9c64e04326761fb6155a7c0c3a883"/>
    <w:p>
      <w:pPr>
        <w:pStyle w:val="Heading3"/>
      </w:pPr>
      <w:r>
        <w:t xml:space="preserve">В каком случае не будут начисляться пени в период с 01.01.2023 года по 30.06.2023 года?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e3/aqigyigppptlbdn7x9uw9xh29ybyiwqv/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44/glckzq01u24jo32lttha2wa3lzy2y16e/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http://brateevo.mos.ru/safety-and-security/the-irs/detail/11736150.html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afety-and-security/the-irs/detail/11736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afety-and-security/the-irs/detail/11736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2025-08-02T19:53:05Z</dcterms:created>
  <dcterms:modified xsi:type="dcterms:W3CDTF">2025-08-02T19:53:05Z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