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adfc07f9b1f404d94a037db7e2388d2c2de74a"/>
    <w:p>
      <w:pPr>
        <w:pStyle w:val="Heading3"/>
      </w:pPr>
      <w:r>
        <w:t xml:space="preserve">Налогоплательщики на УСН вправе подавать уведомления об исчисленных налогах с отрицательными значениями</w:t>
      </w:r>
    </w:p>
    <w:p>
      <w:pPr>
        <w:pStyle w:val="FirstParagraph"/>
      </w:pPr>
      <w:r>
        <w:t xml:space="preserve">19.07.2023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17/hheeyp652laz0adlcov2lq36gj2kzxkj/_18072023-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823/4sgbj7tim41we3le6dehdxqbxzz9zkq0/_18072023-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http://brateevo.mos.ru/safety-and-security/the-irs/detail/11723500.html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afety-and-security/the-irs/detail/11723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afety-and-security/the-irs/detail/11723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2025-05-26T22:36:08Z</dcterms:created>
  <dcterms:modified xsi:type="dcterms:W3CDTF">2025-05-26T22:36:08Z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