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7df3cbf7bb6588654f6d8357f9973973bca7b1"/>
    <w:p>
      <w:pPr>
        <w:pStyle w:val="Heading3"/>
      </w:pPr>
      <w:r>
        <w:t xml:space="preserve">Вопросы заполнения и представления уведомлений об исчисленных суммах налогов на имущество организаций разъяснил Алексей Лащёнов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0b/dfho0bi52big7uu4lor2pe8uxc7wzeg8/Upravy1005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35/txfjj2uejzy9zp16i950b52w4x8crzoh/Upravy1005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http://brateevo.mos.ru/safety-and-security/the-irs/detail/11578389.html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578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afety-and-security/the-irs/detail/11578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2025-08-03T06:08:34Z</dcterms:created>
  <dcterms:modified xsi:type="dcterms:W3CDTF">2025-08-03T06:08:34Z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