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8956d890fb2d0100a6f8617ba6195f856d0892"/>
    <w:p>
      <w:pPr>
        <w:pStyle w:val="Heading3"/>
      </w:pPr>
      <w:r>
        <w:t xml:space="preserve">ПРАВИЛА БЕЗОПАСНОСТИ ПРИ ИСПОЛЬЗОВАНИИ ПИРОТЕХНИКИ</w:t>
      </w:r>
    </w:p>
    <w:p>
      <w:pPr>
        <w:pStyle w:val="FirstParagraph"/>
      </w:pPr>
      <w:r>
        <w:t xml:space="preserve">28.11.2024</w:t>
      </w:r>
    </w:p>
    <w:p>
      <w:pPr>
        <w:pStyle w:val="BodyText"/>
      </w:pPr>
      <w:r>
        <w:drawing>
          <wp:inline>
            <wp:extent cx="5334000" cy="754502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rateevo.mos.ru/www/6.%20Памятка%20Правила%20безопасности%20при%20использовании%20пиротехники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5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http://brateevo.mos.ru/safety-and-security/gochsipb/detail/12692375.html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safety-and-security/gochsipb/detail/1269237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safety-and-security/gochsipb/detail/1269237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2025-03-19T20:21:27Z</dcterms:created>
  <dcterms:modified xsi:type="dcterms:W3CDTF">2025-03-19T20:21:27Z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