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c1aa799ebb7aefef525be73a8300387f68dbe6"/>
    <w:p>
      <w:pPr>
        <w:pStyle w:val="Heading3"/>
      </w:pPr>
      <w:r>
        <w:t xml:space="preserve">ПРАВИЛА ПОЖАРНОЙ БЕЗОПАСНОСТИ В НОВОГОДНИЕ ПРАЗДНИКИ</w:t>
      </w:r>
    </w:p>
    <w:p>
      <w:pPr>
        <w:pStyle w:val="FirstParagraph"/>
      </w:pPr>
      <w:r>
        <w:t xml:space="preserve">28.11.2024</w:t>
      </w:r>
    </w:p>
    <w:p>
      <w:pPr>
        <w:pStyle w:val="BodyText"/>
      </w:pPr>
      <w:r>
        <w:drawing>
          <wp:inline>
            <wp:extent cx="5334000" cy="754502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5.%20Памятка%20Правила%20ПБ%20в%20новогодние%20праздники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5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http://brateevo.mos.ru/safety-and-security/gochsipb/detail/12692368.html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safety-and-security/gochsipb/detail/126923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safety-and-security/gochsipb/detail/126923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2024-12-08T00:15:16Z</dcterms:created>
  <dcterms:modified xsi:type="dcterms:W3CDTF">2024-12-08T00:15:16Z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