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памятка-при-наводнении"/>
    <w:p>
      <w:pPr>
        <w:pStyle w:val="Heading3"/>
      </w:pPr>
      <w:r>
        <w:t xml:space="preserve">Памятка при наводнении</w:t>
      </w:r>
    </w:p>
    <w:p>
      <w:pPr>
        <w:pStyle w:val="FirstParagraph"/>
      </w:pPr>
      <w:r>
        <w:t xml:space="preserve">28.03.2022</w:t>
      </w:r>
    </w:p>
    <w:p>
      <w:pPr>
        <w:pStyle w:val="BodyText"/>
      </w:pPr>
      <w:r>
        <w:drawing>
          <wp:inline>
            <wp:extent cx="5334000" cy="418690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d42/pamyatka-pri-provedenii-navodneniya-_-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6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18690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b63/pamyatka-pri-provedenii-navodneniya-_-00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86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http://brateevo.mos.ru/safety-and-security/gochsipb/detail/10710856.html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gochsipb/detail/107108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brateevo.mos.ru" TargetMode="External" /><Relationship Type="http://schemas.openxmlformats.org/officeDocument/2006/relationships/hyperlink" Id="rId26" Target="http://brateevo.mos.ru/safety-and-security/gochsipb/detail/107108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2024-05-08T10:30:19Z</dcterms:created>
  <dcterms:modified xsi:type="dcterms:W3CDTF">2024-05-08T10:30:19Z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