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ee93f60a53cef34ae1fd0983fe56d99d96a473"/>
    <w:p>
      <w:pPr>
        <w:pStyle w:val="Heading3"/>
      </w:pPr>
      <w:r>
        <w:t xml:space="preserve">Оповещение о проведении общественных обсуждений проекта благоустройства общественного пространства территории правого берега реки Городня (строительство пешеходного моста через реку)</w:t>
      </w:r>
    </w:p>
    <w:p>
      <w:pPr>
        <w:pStyle w:val="FirstParagraph"/>
      </w:pPr>
      <w:r>
        <w:t xml:space="preserve">04.04.2019</w:t>
      </w:r>
    </w:p>
    <w:p>
      <w:pPr>
        <w:pStyle w:val="BodyText"/>
      </w:pPr>
      <w:r>
        <w:drawing>
          <wp:inline>
            <wp:extent cx="5334000" cy="75105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71c/snimok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105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http://brateevo.mos.ru/public-hearings/alerts/detail/7998957.html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ublic-hearings/alerts/detail/79989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ublic-hearings/alerts/detail/79989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2024-10-07T05:52:52Z</dcterms:created>
  <dcterms:modified xsi:type="dcterms:W3CDTF">2024-10-07T05:52:52Z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